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99C645" w14:textId="77777777" w:rsidR="00C94358" w:rsidRDefault="00C94358">
      <w:pPr>
        <w:spacing w:line="480" w:lineRule="auto"/>
        <w:jc w:val="both"/>
        <w:rPr>
          <w:sz w:val="28"/>
          <w:szCs w:val="28"/>
        </w:rPr>
      </w:pPr>
    </w:p>
    <w:p w14:paraId="585819CF" w14:textId="77777777" w:rsidR="00C94358" w:rsidRDefault="00C94358">
      <w:pPr>
        <w:spacing w:line="480" w:lineRule="auto"/>
        <w:jc w:val="center"/>
        <w:rPr>
          <w:rFonts w:eastAsia="Calibri"/>
          <w:kern w:val="0"/>
          <w:sz w:val="28"/>
          <w:szCs w:val="28"/>
          <w:lang w:val="it-IT" w:eastAsia="it-IT"/>
        </w:rPr>
      </w:pPr>
      <w:r>
        <w:rPr>
          <w:rFonts w:eastAsia="Calibri"/>
          <w:noProof/>
          <w:kern w:val="0"/>
          <w:sz w:val="28"/>
          <w:szCs w:val="28"/>
          <w:lang w:val="it-IT" w:eastAsia="it-IT"/>
        </w:rPr>
        <w:drawing>
          <wp:inline distT="0" distB="0" distL="0" distR="0" wp14:anchorId="5CE73181" wp14:editId="2C630ECF">
            <wp:extent cx="1160145" cy="116014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39" t="-1239" r="-1239" b="-1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160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304BF" w14:textId="77777777" w:rsidR="00C94358" w:rsidRDefault="00C94358">
      <w:pPr>
        <w:spacing w:line="480" w:lineRule="auto"/>
        <w:jc w:val="center"/>
        <w:rPr>
          <w:rFonts w:eastAsia="Calibri"/>
          <w:kern w:val="0"/>
          <w:sz w:val="28"/>
          <w:szCs w:val="28"/>
          <w:lang w:val="it-IT" w:eastAsia="it-IT"/>
        </w:rPr>
      </w:pPr>
    </w:p>
    <w:p w14:paraId="0E39F878" w14:textId="77777777" w:rsidR="00C94358" w:rsidRDefault="00C94358">
      <w:r>
        <w:rPr>
          <w:sz w:val="28"/>
          <w:szCs w:val="28"/>
        </w:rPr>
        <w:t>AL PRESIDENTE                                                                                                               DEL CONSIGLIO COMUNALE DI CREMONA</w:t>
      </w:r>
    </w:p>
    <w:p w14:paraId="60FDC857" w14:textId="77777777" w:rsidR="00C94358" w:rsidRDefault="00C94358">
      <w:pPr>
        <w:spacing w:line="480" w:lineRule="auto"/>
        <w:jc w:val="both"/>
      </w:pPr>
      <w:r>
        <w:rPr>
          <w:rFonts w:eastAsia="Times New Roman"/>
          <w:sz w:val="28"/>
          <w:szCs w:val="28"/>
        </w:rPr>
        <w:t xml:space="preserve">                                          </w:t>
      </w:r>
    </w:p>
    <w:p w14:paraId="02FBAD04" w14:textId="77777777" w:rsidR="00C94358" w:rsidRDefault="00C94358">
      <w:pPr>
        <w:jc w:val="center"/>
      </w:pPr>
      <w:r>
        <w:rPr>
          <w:b/>
          <w:bCs/>
          <w:sz w:val="28"/>
          <w:szCs w:val="28"/>
          <w:u w:val="single"/>
        </w:rPr>
        <w:t>INTERROGAZIONE A RISPOSTA  SCRITTA</w:t>
      </w:r>
    </w:p>
    <w:p w14:paraId="0C292C27" w14:textId="77777777" w:rsidR="00C94358" w:rsidRDefault="00C94358">
      <w:pPr>
        <w:jc w:val="center"/>
        <w:rPr>
          <w:b/>
          <w:bCs/>
          <w:sz w:val="28"/>
          <w:szCs w:val="28"/>
          <w:u w:val="single"/>
        </w:rPr>
      </w:pPr>
    </w:p>
    <w:p w14:paraId="228F8267" w14:textId="77777777" w:rsidR="00C94358" w:rsidRDefault="00C94358">
      <w:pPr>
        <w:spacing w:after="283"/>
        <w:jc w:val="both"/>
      </w:pPr>
      <w:r>
        <w:rPr>
          <w:b/>
          <w:bCs/>
          <w:sz w:val="28"/>
          <w:szCs w:val="28"/>
        </w:rPr>
        <w:t>Oggetto: Utilizzo tassa di soggiorno.</w:t>
      </w:r>
    </w:p>
    <w:p w14:paraId="768A76A8" w14:textId="77777777" w:rsidR="00C94358" w:rsidRDefault="00C94358">
      <w:pPr>
        <w:spacing w:after="283"/>
        <w:jc w:val="both"/>
      </w:pPr>
      <w:r>
        <w:rPr>
          <w:sz w:val="28"/>
          <w:szCs w:val="28"/>
        </w:rPr>
        <w:t>PREMESSO CHE:</w:t>
      </w:r>
    </w:p>
    <w:p w14:paraId="38F70667" w14:textId="77777777" w:rsidR="00C94358" w:rsidRDefault="00C94358">
      <w:pPr>
        <w:spacing w:after="283"/>
        <w:jc w:val="both"/>
      </w:pPr>
      <w:r>
        <w:rPr>
          <w:sz w:val="28"/>
          <w:szCs w:val="28"/>
        </w:rPr>
        <w:t>- Con deliberazione n. 56 del 16/12/2019 è stato approvato il Regolamento per l’applicazione dell’imposta di soggiorno nel Comune di Cremona applicata dal 31/01/2022, un’imposta di scopo, espressamente vincolata ad essere utilizzata per “finanziare interventi in materia di turismo e promozione della città ivi compresi quelli a sostegno delle strutture ricettive, nonché interventi di manutenzione, fruizione e recupero dei beni culturale ed ambientali locali, nonché dei servizi pubblici locali”.</w:t>
      </w:r>
    </w:p>
    <w:p w14:paraId="77BD66C5" w14:textId="77777777" w:rsidR="00C94358" w:rsidRDefault="00C94358">
      <w:pPr>
        <w:spacing w:after="283"/>
        <w:jc w:val="both"/>
      </w:pPr>
      <w:r>
        <w:rPr>
          <w:sz w:val="28"/>
          <w:szCs w:val="28"/>
        </w:rPr>
        <w:t>- La Corte dei conti Veneto, è intervenuta con delibera n. 52/2923 in merito alla possibilità di utilizzare i proventi derivanti dall'imposta di soggiorno evidenziando che ai fini della correttezza/corrispondenza sia della destinazione dell'entrata sia della allocazione della spesa nei prospetti contabili di legge (bilancio di previsione e conto consuntivo), l'imposta di soggiorno può finanziare gli specifici ambiti funzionali inerenti al turismo, siccome declinati dall'art. 4, comma 1, D. Lgs. 23/2011 e n</w:t>
      </w:r>
      <w:r>
        <w:rPr>
          <w:sz w:val="28"/>
          <w:szCs w:val="28"/>
        </w:rPr>
        <w:t>on quelli riferibili soltanto in via mediata e incidentale all'ambito turistico. Infatti, la disposizione d'interesse (art. 4, comma 1) non corrisponde a formula lata (con dicitura aperta) bensì a previsione che individua separatamente in termini specifici e rigorosi, alla stregua delle considerazioni che precedono, singole fattispecie, quali:</w:t>
      </w:r>
    </w:p>
    <w:p w14:paraId="381C8D1A" w14:textId="77777777" w:rsidR="00C94358" w:rsidRDefault="00C94358">
      <w:pPr>
        <w:jc w:val="both"/>
      </w:pPr>
      <w:r>
        <w:rPr>
          <w:sz w:val="28"/>
          <w:szCs w:val="28"/>
        </w:rPr>
        <w:t>1) interventi in materia di turismo, ivi compresi quelli a sostegno delle strutture ricettive;</w:t>
      </w:r>
    </w:p>
    <w:p w14:paraId="3A5DE9C0" w14:textId="77777777" w:rsidR="00C94358" w:rsidRDefault="00C94358">
      <w:pPr>
        <w:jc w:val="both"/>
      </w:pPr>
      <w:r>
        <w:rPr>
          <w:sz w:val="28"/>
          <w:szCs w:val="28"/>
        </w:rPr>
        <w:t>2) interventi di manutenzione, fruizione e recupero di beni culturali ed ambientali locali;</w:t>
      </w:r>
    </w:p>
    <w:p w14:paraId="3FDD3348" w14:textId="77777777" w:rsidR="00C94358" w:rsidRDefault="00C94358">
      <w:pPr>
        <w:jc w:val="both"/>
      </w:pPr>
      <w:r>
        <w:rPr>
          <w:sz w:val="28"/>
          <w:szCs w:val="28"/>
        </w:rPr>
        <w:t>3) servizi pubblici locali inerenti ai predetti interventi.</w:t>
      </w:r>
    </w:p>
    <w:p w14:paraId="24052467" w14:textId="77777777" w:rsidR="00C94358" w:rsidRDefault="00C94358">
      <w:pPr>
        <w:jc w:val="both"/>
        <w:rPr>
          <w:sz w:val="28"/>
          <w:szCs w:val="28"/>
        </w:rPr>
      </w:pPr>
    </w:p>
    <w:p w14:paraId="745255B0" w14:textId="77777777" w:rsidR="00C94358" w:rsidRDefault="00C94358">
      <w:pPr>
        <w:jc w:val="both"/>
      </w:pPr>
      <w:r>
        <w:rPr>
          <w:sz w:val="28"/>
          <w:szCs w:val="28"/>
        </w:rPr>
        <w:t xml:space="preserve">In sede ermeneutica, non può perciò valere il principio per cui ubi lex non distinguit, </w:t>
      </w:r>
      <w:r>
        <w:rPr>
          <w:sz w:val="28"/>
          <w:szCs w:val="28"/>
        </w:rPr>
        <w:lastRenderedPageBreak/>
        <w:t>nec nos distinguere debemus né, di conseguenza, è consentito ricorrere all'analogia (art. 14 Preleggi) o, quanto meno, all'interpretazione estensiva. In conclusione, gli interventi finanziabili con l'imposta di soggiorno corrispondono a quelli intrinsecamente inerenti alla materia del turismo di cui all'art. 4, comma 1, D. Lgs. 23/2011 nei suddetti termini giuridici di interpretazione.</w:t>
      </w:r>
    </w:p>
    <w:p w14:paraId="15AE2BB7" w14:textId="77777777" w:rsidR="00C94358" w:rsidRDefault="00C94358">
      <w:pPr>
        <w:spacing w:after="283"/>
        <w:jc w:val="both"/>
        <w:rPr>
          <w:sz w:val="28"/>
          <w:szCs w:val="28"/>
        </w:rPr>
      </w:pPr>
    </w:p>
    <w:p w14:paraId="55CFB8D0" w14:textId="77777777" w:rsidR="00C94358" w:rsidRDefault="00C94358">
      <w:pPr>
        <w:spacing w:after="283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Tutto ciò premesso e considerato</w:t>
      </w:r>
    </w:p>
    <w:p w14:paraId="1CF1D948" w14:textId="77777777" w:rsidR="00C94358" w:rsidRDefault="00C94358">
      <w:pPr>
        <w:spacing w:after="283"/>
        <w:jc w:val="center"/>
      </w:pPr>
      <w:r>
        <w:rPr>
          <w:b/>
          <w:bCs/>
          <w:sz w:val="28"/>
          <w:szCs w:val="28"/>
        </w:rPr>
        <w:t>Si interroga il Sindaco e la Giunta</w:t>
      </w:r>
    </w:p>
    <w:p w14:paraId="05297135" w14:textId="77777777" w:rsidR="00C94358" w:rsidRDefault="00C94358">
      <w:pPr>
        <w:spacing w:after="283"/>
        <w:jc w:val="both"/>
      </w:pPr>
      <w:r>
        <w:rPr>
          <w:sz w:val="28"/>
          <w:szCs w:val="28"/>
        </w:rPr>
        <w:t xml:space="preserve">- Come sono state utilizzate le risorse incassate negli anni 2022, 2023 e 2024 e in che modo hanno migliorato </w:t>
      </w:r>
      <w:r>
        <w:rPr>
          <w:sz w:val="28"/>
          <w:szCs w:val="28"/>
        </w:rPr>
        <w:t>l’appeal turistico della nostra città?</w:t>
      </w:r>
    </w:p>
    <w:p w14:paraId="21E8ADC3" w14:textId="77777777" w:rsidR="00C94358" w:rsidRDefault="00C94358">
      <w:pPr>
        <w:spacing w:after="283"/>
        <w:jc w:val="both"/>
      </w:pPr>
      <w:r>
        <w:rPr>
          <w:sz w:val="28"/>
          <w:szCs w:val="28"/>
        </w:rPr>
        <w:t xml:space="preserve">- Qual’è la previsione di utilizzo per il 2025? </w:t>
      </w:r>
    </w:p>
    <w:p w14:paraId="765ECB75" w14:textId="77777777" w:rsidR="00C94358" w:rsidRDefault="00C94358">
      <w:pPr>
        <w:jc w:val="both"/>
      </w:pPr>
      <w:r>
        <w:rPr>
          <w:sz w:val="28"/>
          <w:szCs w:val="28"/>
        </w:rPr>
        <w:t xml:space="preserve">Maria Vittoria Ceraso </w:t>
      </w:r>
    </w:p>
    <w:p w14:paraId="2DB03B7F" w14:textId="77777777" w:rsidR="00C94358" w:rsidRDefault="00C94358">
      <w:pPr>
        <w:jc w:val="both"/>
      </w:pPr>
      <w:r>
        <w:rPr>
          <w:sz w:val="28"/>
          <w:szCs w:val="28"/>
        </w:rPr>
        <w:t>(Capo gruppo Lista civica Oggi per Domani)</w:t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4EEC3" w14:textId="77777777" w:rsidR="00C94358" w:rsidRDefault="00C94358" w:rsidP="00C94358">
      <w:r>
        <w:separator/>
      </w:r>
    </w:p>
  </w:endnote>
  <w:endnote w:type="continuationSeparator" w:id="0">
    <w:p w14:paraId="4BF90BC7" w14:textId="77777777" w:rsidR="00C94358" w:rsidRDefault="00C94358" w:rsidP="00C9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charset w:val="00"/>
    <w:family w:val="roman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88A0E" w14:textId="77777777" w:rsidR="00C94358" w:rsidRDefault="00C943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7EDDC" w14:textId="77777777" w:rsidR="00C94358" w:rsidRDefault="00C943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FCA80" w14:textId="77777777" w:rsidR="00C94358" w:rsidRDefault="00C943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0A9D2" w14:textId="77777777" w:rsidR="00C94358" w:rsidRDefault="00C94358" w:rsidP="00C94358">
      <w:r>
        <w:separator/>
      </w:r>
    </w:p>
  </w:footnote>
  <w:footnote w:type="continuationSeparator" w:id="0">
    <w:p w14:paraId="0C0EAFA9" w14:textId="77777777" w:rsidR="00C94358" w:rsidRDefault="00C94358" w:rsidP="00C9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06F5" w14:textId="77777777" w:rsidR="00C94358" w:rsidRDefault="00C943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72681" w14:textId="77777777" w:rsidR="00C94358" w:rsidRDefault="00C943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B341" w14:textId="77777777" w:rsidR="00C94358" w:rsidRDefault="00C943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518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F8"/>
    <w:rsid w:val="004340F8"/>
    <w:rsid w:val="00C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D0B6CC9"/>
  <w15:chartTrackingRefBased/>
  <w15:docId w15:val="{13F49644-2D1C-B34B-8AE4-8DB9ED54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Intestazione1"/>
    <w:next w:val="Corpotesto"/>
    <w:qFormat/>
    <w:pPr>
      <w:numPr>
        <w:ilvl w:val="3"/>
        <w:numId w:val="1"/>
      </w:numPr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Arial Unicode MS" w:hAnsi="Times New Roman" w:cs="Times New Roman" w:hint="default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  <w:color w:val="auto"/>
    </w:rPr>
  </w:style>
  <w:style w:type="character" w:customStyle="1" w:styleId="WW8Num3z6">
    <w:name w:val="WW8Num3z6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8z0">
    <w:name w:val="WW8Num18z0"/>
    <w:rPr>
      <w:rFonts w:ascii="Times New Roman" w:eastAsia="Arial Unicode MS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Arial Unicode MS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Arial Unicode MS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Arial Unicode MS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Georgia" w:eastAsia="Arial Unicode MS" w:hAnsi="Georgia" w:cs="Times New Roman" w:hint="default"/>
      <w:color w:val="1A1A1A"/>
      <w:sz w:val="27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Arial Unicode MS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  <w:color w:val="auto"/>
    </w:rPr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WW8Num27z0">
    <w:name w:val="WW8Num27z0"/>
    <w:rPr>
      <w:rFonts w:ascii="Times New Roman" w:eastAsia="Times New Roman" w:hAnsi="Times New Roman" w:cs="Times New Roman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  <w:color w:val="auto"/>
    </w:rPr>
  </w:style>
  <w:style w:type="character" w:customStyle="1" w:styleId="WW8Num27z6">
    <w:name w:val="WW8Num27z6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24z1">
    <w:name w:val="WW8Num24z1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styleId="Enfasicorsivo">
    <w:name w:val="Emphasis"/>
    <w:qFormat/>
    <w:rPr>
      <w:i/>
      <w:iCs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eastAsia="Arial Unicode MS"/>
      <w:kern w:val="2"/>
    </w:rPr>
  </w:style>
  <w:style w:type="character" w:customStyle="1" w:styleId="SoggettocommentoCarattere">
    <w:name w:val="Soggetto commento Carattere"/>
    <w:rPr>
      <w:rFonts w:eastAsia="Arial Unicode MS"/>
      <w:b/>
      <w:bCs/>
      <w:kern w:val="2"/>
    </w:rPr>
  </w:style>
  <w:style w:type="character" w:customStyle="1" w:styleId="TestofumettoCarattere">
    <w:name w:val="Testo fumetto Carattere"/>
    <w:rPr>
      <w:rFonts w:ascii="Tahoma" w:eastAsia="Arial Unicode MS" w:hAnsi="Tahoma" w:cs="Tahoma"/>
      <w:kern w:val="2"/>
      <w:sz w:val="16"/>
      <w:szCs w:val="16"/>
    </w:rPr>
  </w:style>
  <w:style w:type="character" w:customStyle="1" w:styleId="WW-Enfasiforte">
    <w:name w:val="WW-Enfasi forte"/>
    <w:rPr>
      <w:b/>
      <w:bCs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2">
    <w:name w:val="WW8Num24z2"/>
    <w:rPr>
      <w:rFonts w:ascii="Wingdings" w:hAnsi="Wingdings" w:cs="Wingdings" w:hint="defaul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rpodeltesto21">
    <w:name w:val="Corpo del testo 21"/>
    <w:basedOn w:val="Normale"/>
    <w:pPr>
      <w:tabs>
        <w:tab w:val="left" w:pos="1440"/>
      </w:tabs>
      <w:jc w:val="both"/>
    </w:pPr>
    <w:rPr>
      <w:szCs w:val="22"/>
    </w:rPr>
  </w:style>
  <w:style w:type="paragraph" w:styleId="Paragrafoelenco">
    <w:name w:val="List Paragraph"/>
    <w:basedOn w:val="Normale"/>
    <w:qFormat/>
    <w:pPr>
      <w:ind w:left="720"/>
    </w:pPr>
    <w:rPr>
      <w:rFonts w:eastAsia="Calibri"/>
      <w:sz w:val="20"/>
      <w:szCs w:val="20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pPr>
      <w:widowControl/>
      <w:spacing w:before="100" w:after="100"/>
    </w:pPr>
    <w:rPr>
      <w:rFonts w:ascii="Arial Unicode MS" w:hAnsi="Arial Unicode MS" w:cs="Arial Unicode MS"/>
    </w:rPr>
  </w:style>
  <w:style w:type="paragraph" w:customStyle="1" w:styleId="testo12nero1">
    <w:name w:val="testo12nero1"/>
    <w:basedOn w:val="Normale"/>
    <w:pPr>
      <w:widowControl/>
      <w:spacing w:before="100" w:after="100"/>
    </w:pPr>
    <w:rPr>
      <w:rFonts w:ascii="Arial Unicode MS" w:hAnsi="Arial Unicode MS" w:cs="Arial Unicode MS"/>
    </w:rPr>
  </w:style>
  <w:style w:type="paragraph" w:customStyle="1" w:styleId="EcriticitdelcentrostoricodiCremona">
    <w:name w:val="E criticità del centro storico di Cremona"/>
    <w:basedOn w:val="Normale"/>
    <w:pPr>
      <w:kinsoku w:val="0"/>
      <w:overflowPunct w:val="0"/>
      <w:spacing w:line="382" w:lineRule="exact"/>
      <w:jc w:val="both"/>
    </w:pPr>
    <w:rPr>
      <w:rFonts w:eastAsia="Times New Roman"/>
      <w:spacing w:val="-3"/>
    </w:rPr>
  </w:style>
  <w:style w:type="paragraph" w:styleId="Rientrocorpodeltesto">
    <w:name w:val="Body Text Indent"/>
    <w:basedOn w:val="Normale"/>
    <w:pPr>
      <w:ind w:left="360"/>
      <w:jc w:val="both"/>
    </w:pPr>
  </w:style>
  <w:style w:type="paragraph" w:customStyle="1" w:styleId="Testodelblocco1">
    <w:name w:val="Testo del blocco1"/>
    <w:basedOn w:val="Normale"/>
    <w:pPr>
      <w:kinsoku w:val="0"/>
      <w:overflowPunct w:val="0"/>
      <w:spacing w:before="459"/>
      <w:ind w:left="144" w:right="144"/>
      <w:jc w:val="both"/>
      <w:textAlignment w:val="baseline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</w:pPr>
    <w:rPr>
      <w:rFonts w:ascii="Times" w:eastAsia="Times" w:hAnsi="Times" w:cs="Time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widowControl w:val="0"/>
      <w:suppressAutoHyphens/>
    </w:pPr>
    <w:rPr>
      <w:rFonts w:eastAsia="Arial Unicode MS"/>
      <w:kern w:val="2"/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943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358"/>
    <w:rPr>
      <w:rFonts w:eastAsia="Arial Unicode MS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 Vittoria Ceraso</cp:lastModifiedBy>
  <cp:revision>2</cp:revision>
  <cp:lastPrinted>1995-11-21T16:41:00Z</cp:lastPrinted>
  <dcterms:created xsi:type="dcterms:W3CDTF">2025-01-18T09:02:00Z</dcterms:created>
  <dcterms:modified xsi:type="dcterms:W3CDTF">2025-01-18T09:02:00Z</dcterms:modified>
</cp:coreProperties>
</file>